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7E" w:rsidRPr="004A06E7" w:rsidRDefault="004A06E7" w:rsidP="004A06E7">
      <w:pPr>
        <w:jc w:val="center"/>
        <w:rPr>
          <w:rFonts w:ascii="宋体" w:hAnsi="宋体" w:hint="eastAsia"/>
          <w:b/>
          <w:bCs/>
          <w:sz w:val="36"/>
          <w:szCs w:val="36"/>
          <w:shd w:val="clear" w:color="auto" w:fill="FFFFFF"/>
        </w:rPr>
      </w:pPr>
      <w:r w:rsidRPr="004A06E7">
        <w:rPr>
          <w:rFonts w:ascii="宋体" w:hAnsi="宋体"/>
          <w:b/>
          <w:bCs/>
          <w:sz w:val="36"/>
          <w:szCs w:val="36"/>
          <w:shd w:val="clear" w:color="auto" w:fill="FFFFFF"/>
        </w:rPr>
        <w:t>加强内控管理</w:t>
      </w:r>
      <w:proofErr w:type="gramStart"/>
      <w:r w:rsidRPr="004A06E7">
        <w:rPr>
          <w:rFonts w:ascii="宋体" w:hAnsi="宋体"/>
          <w:b/>
          <w:bCs/>
          <w:sz w:val="36"/>
          <w:szCs w:val="36"/>
          <w:shd w:val="clear" w:color="auto" w:fill="FFFFFF"/>
        </w:rPr>
        <w:t>助力建企</w:t>
      </w:r>
      <w:proofErr w:type="gramEnd"/>
      <w:r w:rsidRPr="004A06E7">
        <w:rPr>
          <w:rFonts w:ascii="宋体" w:hAnsi="宋体"/>
          <w:b/>
          <w:bCs/>
          <w:sz w:val="36"/>
          <w:szCs w:val="36"/>
          <w:shd w:val="clear" w:color="auto" w:fill="FFFFFF"/>
        </w:rPr>
        <w:t>“营改增”稳步推进</w:t>
      </w:r>
    </w:p>
    <w:p w:rsidR="004A06E7" w:rsidRDefault="004A06E7" w:rsidP="004A06E7">
      <w:pPr>
        <w:jc w:val="center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于国家 南京建筑业协会会长</w:t>
      </w:r>
    </w:p>
    <w:p w:rsidR="00D6264A" w:rsidRPr="004A06E7" w:rsidRDefault="00D6264A" w:rsidP="004A06E7">
      <w:pPr>
        <w:jc w:val="center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</w:p>
    <w:p w:rsidR="004A06E7" w:rsidRPr="004A06E7" w:rsidRDefault="004A06E7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党的十九大报告强调，要不断“深化税收制度改革，健全地方税体系”，这意味着完善税收体系、加强税收管理，在新时代伟大复兴中国梦中占有重要的地位。“营改增”是我国新时期特色社会主义建设最重要的税制改革，广大建筑业企业应积极主动承担“营改增”重担，不断加强对“营改增”实施过程中遇到的新情况、新问题的研究，与税务部门一道，确保“营改增”顺利推进，实现预期目标，努力促进建筑业持续健康发展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喜忧参半　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建企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“营改增”实施不容乐观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从2016年5月1日起，建筑业实行“营改增”至今已超过一年半时间，税改有没有达到减税的预期？“营改增”给施工企业经营管理带来了哪些变化？企业的税负是减轻了还是加重了？带着这些疑问，笔者带领协会“营改增”课题调研组，通过网上问卷调查、召开座谈会、进企业、进工地实施调研等方式，对全省13个设区市和省、部属205家施工企业进行调研，掌握了大量来自一线最真实的、鲜活的信息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通过调研，我们归纳分析，得出“一喜一忧”两个结论。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总体来看，“营改增”实施以来，国家税务主管部门连续发布了一些细则、补充意见、通知等，使“营改增”在建筑业企业基层操作层面得到进一步的改进和完善。但减轻税负的效果目前尚未充分体现，</w:t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lastRenderedPageBreak/>
        <w:t>从建筑业长远发展和当前建筑市场行情来看，建筑业企业度过政策磨合期仍有很长的路要走。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“喜”的是，“营改增”影响到企业管理的方方面面，它强势倒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逼施工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企业必须加强和改善经营管理，才能适应“营改增”最大幅度地降低自身税负的要求。大多数施工企业加强了管理，对进一步提质增效起到了很好的推动作用。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“忧”的是，“营改增”的实施也暴露出长期积累的行业问题。由于自身管理粗放、施工周期长、施工技术工艺陈旧、采购供应多元复杂和传统经营管理观念难以改变等因素的综合作用，在“营改增”实施过程中，50%的施工企业税负“不降反升”，20%的施工企业持平，24%的机电安装、钢结构等专业企业税负略有下降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在“营改增”现有政策既定的大背景下，建筑施工企业如何进一步冲破困局、降低税负，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变忧为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喜，是进入新时代摆在建筑施工企业面前急需解决的新课题。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内控管理　“营改增”须“三适应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一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加强”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如何破解？结合对本次调研信息的分析和从事建筑业45年的管理经验，我认为，施工企业除严格“营改增”和“三流一致”等操作规范外，还应该“立足自身、精细管理”，做到“三适应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一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加强”，确保建筑施工企业“营改增”健康推进。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梳理修订涉税制度，内控制度要适应“营改增”。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施工企业要对合同管理制度、采购管理制度、工程管理制度、成本管理制度和财务管理制度进行梳理修订，按照“营改增”政策增加</w:t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lastRenderedPageBreak/>
        <w:t>管理条款。要按照“营改增”政策修订规范各类合同，增加增值税的合同条款（如纳税资格、增值税率、先开票后付款等），特别是《采购合同》、《劳务分包合同》、《专业分包合同》和《机械租赁合同》等。通过内控制度的梳理修订，争取最大限度地征集到各档税率的进项税票，做到能取尽取、不漏不乱。这是缓解“取进项税票难”的关键环节，施工企业一定要建立完善的针对“营改增”的内控制度，才能最大限度地降低税负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梳理调整涉税管理流程，内控流程要适应“营改增”。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施工企业在编制项目成本控制预算时，要将人、材、机和间接费等各项成本费用按照理论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值预测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进项税额，计算出项目理论应缴纳增值税额，这是有针对性地对进项税额进行前置预算程序，在工程施工过程中分别对成本及增值税两项进行两算对比。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要建立供应商、分包商（分专业、劳务）准入和退出控制流程，其中关键要采集纳税人资格等涉税信息，保证己方在采购时能取得合理的进项税票。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要建立部分物资集中采购的内控流程，以降低采购成本和取得较高税率的进项税票。采购人员要参考财务部门定期下发的《采购比价平衡点》，在与供应商、分包商、设备租赁商进行价格谈判时，充分考虑不同增值税率的采购价格对项目成本的影响程度，灵活、适时运用谈判技巧，保障公司利益的最大化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建立涉税管理信息系统，运用先进管理工具适应“营改增”。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施工企业工程项目单项造价高，传统依靠手工完成税票的归集、</w:t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lastRenderedPageBreak/>
        <w:t>认证、计算方式会降低工作效率和工作质量，更无法做到整个集团的税收统筹管理，需建立税务信息管理系统，采用先进的信息化工具，进行增值税管理的实时数据采集、对比、分析等，发现问题及时纠偏，减少应征税票的流失，降低企业税负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另可借助BIM技术，在做施工图预算时让财务提前介入，对施工预算和施工组织设计做控税预测。在施工过程中，做到及时比对、及时发现问题、及时纠偏，做到控税的“精细化管理”和“网络化管理”，确保“税票可控”、“稅负可控”，最大限度地降低总税负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调整营销策略，加强市场拓展经营能力。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建筑工程项目按实施技术和施工工艺的不同，可分为现浇框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剪结构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工程、装配式结构工程以及与之配套的机电、消防、空调和幕墙等专业工程。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通过对205家施工企业的调查，“营改增”后税负“不降反升”的企业占50%，税负持平的占20%，占24%的机电、钢结构企业税负低于3%。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可以看出，现浇框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剪结构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工程项目因为归集进项税票困难或进了很多低税率税票，出现了“高征低扣”的情况。而装配式结构工程项目因为装配式产品占工程造价的比重大，能取得较多的17%税率的增值税发票，因此，税负相应就低于3%（钢结构工程项目本次调研中属低税负类型，可不作对比分析）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施工企业在制定经营目标时，应对承接的任务</w:t>
      </w:r>
      <w:proofErr w:type="gramStart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作出分类占</w:t>
      </w:r>
      <w:proofErr w:type="gramEnd"/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比的测算。特别是单一主营的土建施工企业，更需调整营销策略，加强新型</w:t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lastRenderedPageBreak/>
        <w:t>装配式建筑市场、市政基础设施、轨道交通、城市地下管廊和建筑智能化等方面的市场拓展，多承接一些装配式工程项目或多承接一些高税率、税票多的工程项目，降低企业的总税负。</w:t>
      </w:r>
      <w:r w:rsidRPr="004A06E7">
        <w:rPr>
          <w:rFonts w:ascii="仿宋" w:eastAsia="仿宋" w:hAnsi="仿宋"/>
          <w:color w:val="000000"/>
          <w:sz w:val="28"/>
          <w:szCs w:val="28"/>
        </w:rPr>
        <w:br/>
      </w:r>
      <w:r w:rsidRPr="004A06E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　　总之，“营改增”的实施，从税负杠杆的角度、从行业长远发展来看，对建筑施工企业多元经营格局的形成和总体的转型升级，以及不断提升企业的核心竞争力，起到了很好的助推作用。（中国建设报）</w:t>
      </w:r>
    </w:p>
    <w:sectPr w:rsidR="004A06E7" w:rsidRPr="004A06E7" w:rsidSect="00CD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6E7"/>
    <w:rsid w:val="004A06E7"/>
    <w:rsid w:val="00CD197E"/>
    <w:rsid w:val="00D6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372</Words>
  <Characters>2126</Characters>
  <Application>Microsoft Office Word</Application>
  <DocSecurity>0</DocSecurity>
  <Lines>17</Lines>
  <Paragraphs>4</Paragraphs>
  <ScaleCrop>false</ScaleCrop>
  <Company>MS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2018-02-09T02:43:00Z</dcterms:created>
  <dcterms:modified xsi:type="dcterms:W3CDTF">2018-02-09T02:45:00Z</dcterms:modified>
</cp:coreProperties>
</file>