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DD" w:rsidRDefault="00066EDD" w:rsidP="00066EDD">
      <w:pPr>
        <w:jc w:val="center"/>
        <w:rPr>
          <w:rFonts w:hint="eastAsia"/>
          <w:b/>
          <w:bCs/>
          <w:sz w:val="36"/>
          <w:szCs w:val="36"/>
        </w:rPr>
      </w:pPr>
      <w:r w:rsidRPr="00066EDD">
        <w:rPr>
          <w:rFonts w:hint="eastAsia"/>
          <w:b/>
          <w:bCs/>
          <w:sz w:val="36"/>
          <w:szCs w:val="36"/>
        </w:rPr>
        <w:t>国税局</w:t>
      </w:r>
      <w:r w:rsidRPr="00066EDD">
        <w:rPr>
          <w:rFonts w:hint="eastAsia"/>
          <w:b/>
          <w:bCs/>
          <w:sz w:val="36"/>
          <w:szCs w:val="36"/>
        </w:rPr>
        <w:t xml:space="preserve"> </w:t>
      </w:r>
      <w:r w:rsidRPr="00066EDD">
        <w:rPr>
          <w:rFonts w:hint="eastAsia"/>
          <w:b/>
          <w:bCs/>
          <w:sz w:val="36"/>
          <w:szCs w:val="36"/>
        </w:rPr>
        <w:t>住建部</w:t>
      </w:r>
      <w:r w:rsidRPr="00066EDD">
        <w:rPr>
          <w:rFonts w:hint="eastAsia"/>
          <w:b/>
          <w:bCs/>
          <w:sz w:val="36"/>
          <w:szCs w:val="36"/>
        </w:rPr>
        <w:t xml:space="preserve"> </w:t>
      </w:r>
      <w:r w:rsidRPr="00066EDD">
        <w:rPr>
          <w:rFonts w:hint="eastAsia"/>
          <w:b/>
          <w:bCs/>
          <w:sz w:val="36"/>
          <w:szCs w:val="36"/>
        </w:rPr>
        <w:t>财政部</w:t>
      </w:r>
      <w:r w:rsidRPr="00066EDD">
        <w:rPr>
          <w:rFonts w:hint="eastAsia"/>
          <w:b/>
          <w:bCs/>
          <w:sz w:val="36"/>
          <w:szCs w:val="36"/>
        </w:rPr>
        <w:t xml:space="preserve"> </w:t>
      </w:r>
    </w:p>
    <w:p w:rsidR="00D67D32" w:rsidRPr="00066EDD" w:rsidRDefault="00066EDD" w:rsidP="00066EDD">
      <w:pPr>
        <w:jc w:val="center"/>
        <w:rPr>
          <w:rFonts w:hint="eastAsia"/>
          <w:b/>
          <w:bCs/>
          <w:sz w:val="36"/>
          <w:szCs w:val="36"/>
        </w:rPr>
      </w:pPr>
      <w:r w:rsidRPr="00066EDD">
        <w:rPr>
          <w:rFonts w:hint="eastAsia"/>
          <w:b/>
          <w:bCs/>
          <w:sz w:val="36"/>
          <w:szCs w:val="36"/>
        </w:rPr>
        <w:t>关于进一步做好建筑行业营改增试点工作的意见</w:t>
      </w:r>
    </w:p>
    <w:p w:rsidR="00066EDD" w:rsidRPr="00066EDD" w:rsidRDefault="00066EDD" w:rsidP="00066EDD">
      <w:pPr>
        <w:jc w:val="center"/>
        <w:rPr>
          <w:rFonts w:hint="eastAsia"/>
          <w:bCs/>
          <w:sz w:val="28"/>
          <w:szCs w:val="28"/>
        </w:rPr>
      </w:pPr>
      <w:r w:rsidRPr="00066EDD">
        <w:rPr>
          <w:rFonts w:hint="eastAsia"/>
          <w:bCs/>
          <w:sz w:val="28"/>
          <w:szCs w:val="28"/>
        </w:rPr>
        <w:t>税总发（</w:t>
      </w:r>
      <w:r w:rsidRPr="00066EDD">
        <w:rPr>
          <w:rFonts w:hint="eastAsia"/>
          <w:bCs/>
          <w:sz w:val="28"/>
          <w:szCs w:val="28"/>
        </w:rPr>
        <w:t>2017</w:t>
      </w:r>
      <w:r w:rsidRPr="00066EDD">
        <w:rPr>
          <w:rFonts w:hint="eastAsia"/>
          <w:bCs/>
          <w:sz w:val="28"/>
          <w:szCs w:val="28"/>
        </w:rPr>
        <w:t>）</w:t>
      </w:r>
      <w:r w:rsidRPr="00066EDD">
        <w:rPr>
          <w:rFonts w:hint="eastAsia"/>
          <w:bCs/>
          <w:sz w:val="28"/>
          <w:szCs w:val="28"/>
        </w:rPr>
        <w:t>99</w:t>
      </w:r>
      <w:r w:rsidRPr="00066EDD">
        <w:rPr>
          <w:rFonts w:hint="eastAsia"/>
          <w:bCs/>
          <w:sz w:val="28"/>
          <w:szCs w:val="28"/>
        </w:rPr>
        <w:t>号</w:t>
      </w:r>
    </w:p>
    <w:p w:rsidR="00066EDD" w:rsidRPr="00066EDD" w:rsidRDefault="00066EDD" w:rsidP="00066EDD">
      <w:pPr>
        <w:widowControl/>
        <w:spacing w:before="100" w:beforeAutospacing="1" w:after="100" w:afterAutospacing="1" w:line="450" w:lineRule="atLeast"/>
        <w:jc w:val="left"/>
        <w:rPr>
          <w:rFonts w:ascii="仿宋" w:eastAsia="仿宋" w:hAnsi="仿宋" w:cs="宋体"/>
          <w:kern w:val="0"/>
          <w:sz w:val="28"/>
          <w:szCs w:val="28"/>
        </w:rPr>
      </w:pPr>
      <w:r w:rsidRPr="00066EDD">
        <w:rPr>
          <w:rFonts w:ascii="仿宋" w:eastAsia="仿宋" w:hAnsi="仿宋" w:cs="宋体" w:hint="eastAsia"/>
          <w:kern w:val="0"/>
          <w:sz w:val="28"/>
          <w:szCs w:val="28"/>
        </w:rPr>
        <w:t>各省、自治区、直辖市、计划单列市国家税务局、住房城乡建设厅（建委、建设局）、财政厅（局），新疆生产建设兵团建设局、财务局:</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建筑行业纳入营改增试点以来，通过打通增值税抵扣链条，妥善解决了原税制存在的重复征税问题，顺利实现了税制平稳转换,为建筑行业的发展营造了更为有利的税收环境。近期部分企业反映，试点过程中仍不同程度地存在取得抵扣凭证有难度、选择简易计税办法有障碍、异地施工预缴税款有困难等方面问题。为进一步做好建筑行业营改增试点相关工作，规范市场主体行为，更好发挥税制改革对行业发展的促进作用，提出以下意见。</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 xml:space="preserve"> 一、加强宣传辅导，优化纳税服务</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一）持续开展宣传辅导。各级财税部门要将建筑行业，特别是中小建筑企业作为下一步政策辅导的重点，因地制宜采取措施，帮助企业提高对增值税制度的理解和认识，引导企业更充分地享受各类政策安排和优化服务措施，更好地适应新税制。各级住房城乡建设部门、相关行业协会要进一步加强对培训工作的专业指导，协调整合培训资源，积极为建筑业纳税人的培训、辅导等工作创造条件。</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lastRenderedPageBreak/>
        <w:t>（二）进一步优化发票代开服务。各地税务部门要积极创造条件，在建材市场、大型工程项目部等地增设专用发票代开点，为砂土石料销售企业、临时经营企业及建筑材料零售企业代开专用发票提供便利，不断提高建筑企业购买建筑材料获得专用发票的比例。</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三）切实保证政策措施落地。各地税务部门要深刻领会现行建筑行业各项政策措施出台的意图，盯紧抓牢已出台各项政策措施的落地工作，税收减免、简易计税等各类政策安排必须严格落实到位。特别是《财政部 税务总局关于建筑服务等营改增试点政策的通知》（财税〔2017〕58号）规定的建筑工程总承包单位为房屋建筑的地基与基础、主体结构提供工程服务，在建设单位自行采购全部或部分主要建筑材料的情况下，一律适用简易计税的政策，必须通知到每一个建筑企业和相关建设单位，确保建筑企业“应享尽享”，充分释放政策红利。</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 xml:space="preserve"> 二、规范市场行为，强化合规意识</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四）严格规范建筑市场秩序。各地税务部门要强化对砂土石料等建筑材料销售企业的税收检查，及时处理建筑材料销售企业拒绝开票、加价开票等违规行为，发现建筑材料销售企业通过不开发票隐瞒收入偷税的，要依法依规严肃查处。各级住房城乡建设部门和税务部门要进一步加强信息共享，充分利用税收征管数据，对于增值税缴纳单位与建设工程合同承包方不一致的工程项目，重点核查是否存在转</w:t>
      </w:r>
      <w:r w:rsidRPr="00066EDD">
        <w:rPr>
          <w:rFonts w:ascii="仿宋" w:eastAsia="仿宋" w:hAnsi="仿宋" w:cs="宋体" w:hint="eastAsia"/>
          <w:kern w:val="0"/>
          <w:sz w:val="28"/>
          <w:szCs w:val="28"/>
        </w:rPr>
        <w:lastRenderedPageBreak/>
        <w:t>包、违法分包、挂靠等行为，一经发现，严肃查处，切实维护建筑市场秩序。</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五）积极引导企业规范管理。引导建筑企业从供应商筛选、内控机制建设、采购合同规范等方面完善流程，规范采购渠道和财务管理，提高进项税抵扣比例，合理降低税务负担，以营改增试点推动建筑企业规范管理，不断提升经营水平。</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六）加快推行工程总承包。引导企业大力推进工程总承包，细化工程总承包合同，实现设计、采购、施工等各阶段工作的深度融合，提高工程建设水平。合同各方要合理运用市场机制分享改革带来的减税红利，实现建筑行业营改增试点成效的最大化。</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七）大力营造有序竞争的市场环境。坚决打破区域市场准入壁垒,任何地区和单位不得违法限制或排斥本地区以外的建筑企业参加工程项目投标，严禁强制或变相要求外地建筑企业在本地设立分公司或子公司，为建筑企业营造更加开放、公平的市场环境。</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三、注重部门协调，形成工作合力</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t>（八）充分发挥行业协会作用。行业协会是企业与政府部门之间的桥梁和纽带。建筑行业各相关协会要充分发挥自身优势，主动联系政府、服务企业、促进行业自律，协助政府部门改善对建筑行业的管理，加强调查研究，积极向有关部门反映建筑企业的诉求和行业情况，提出切实可行的意见建议。</w:t>
      </w:r>
    </w:p>
    <w:p w:rsidR="00066EDD" w:rsidRPr="00066EDD" w:rsidRDefault="00066EDD" w:rsidP="00066EDD">
      <w:pPr>
        <w:widowControl/>
        <w:spacing w:before="100" w:beforeAutospacing="1" w:after="100" w:afterAutospacing="1" w:line="450" w:lineRule="atLeast"/>
        <w:ind w:leftChars="-1" w:left="-2" w:firstLineChars="200" w:firstLine="560"/>
        <w:jc w:val="left"/>
        <w:rPr>
          <w:rFonts w:ascii="仿宋" w:eastAsia="仿宋" w:hAnsi="仿宋" w:cs="宋体" w:hint="eastAsia"/>
          <w:kern w:val="0"/>
          <w:sz w:val="28"/>
          <w:szCs w:val="28"/>
        </w:rPr>
      </w:pPr>
      <w:r w:rsidRPr="00066EDD">
        <w:rPr>
          <w:rFonts w:ascii="仿宋" w:eastAsia="仿宋" w:hAnsi="仿宋" w:cs="宋体" w:hint="eastAsia"/>
          <w:kern w:val="0"/>
          <w:sz w:val="28"/>
          <w:szCs w:val="28"/>
        </w:rPr>
        <w:lastRenderedPageBreak/>
        <w:t>（九）切实加强部门配合。建筑行业营改增试点工作涉及面广，利益调整深刻，各地税务、住房城乡建设、财政部门要进一步统一思想认识，加强协调配合，强化监督检查，形成工作合力，保证各项政策措施落到实处。各部门在工作推进过程中发现的新情况、新问题，要加强调查研究，提出有效解决方案，及时向上级主管部门报告，通过各部门的共同努力，确保建筑行业营改增试点工作持续平稳运行。</w:t>
      </w:r>
      <w:r w:rsidRPr="00066EDD">
        <w:rPr>
          <w:rFonts w:ascii="宋体" w:eastAsia="仿宋" w:hAnsi="宋体" w:cs="宋体" w:hint="eastAsia"/>
          <w:kern w:val="0"/>
          <w:sz w:val="28"/>
          <w:szCs w:val="28"/>
        </w:rPr>
        <w:t> </w:t>
      </w:r>
    </w:p>
    <w:p w:rsidR="00066EDD" w:rsidRPr="00066EDD" w:rsidRDefault="00066EDD" w:rsidP="00066EDD">
      <w:pPr>
        <w:widowControl/>
        <w:spacing w:before="100" w:beforeAutospacing="1" w:after="100" w:afterAutospacing="1" w:line="450" w:lineRule="atLeast"/>
        <w:ind w:left="870"/>
        <w:jc w:val="right"/>
        <w:rPr>
          <w:rFonts w:ascii="仿宋" w:eastAsia="仿宋" w:hAnsi="仿宋" w:cs="宋体" w:hint="eastAsia"/>
          <w:kern w:val="0"/>
          <w:sz w:val="28"/>
          <w:szCs w:val="28"/>
        </w:rPr>
      </w:pPr>
      <w:r w:rsidRPr="00066EDD">
        <w:rPr>
          <w:rFonts w:ascii="仿宋" w:eastAsia="仿宋" w:hAnsi="仿宋" w:cs="宋体" w:hint="eastAsia"/>
          <w:kern w:val="0"/>
          <w:sz w:val="28"/>
          <w:szCs w:val="28"/>
        </w:rPr>
        <w:t>国家税务总局</w:t>
      </w:r>
    </w:p>
    <w:p w:rsidR="00066EDD" w:rsidRPr="00066EDD" w:rsidRDefault="00066EDD" w:rsidP="00066EDD">
      <w:pPr>
        <w:widowControl/>
        <w:spacing w:before="100" w:beforeAutospacing="1" w:after="100" w:afterAutospacing="1" w:line="450" w:lineRule="atLeast"/>
        <w:ind w:left="870"/>
        <w:jc w:val="right"/>
        <w:rPr>
          <w:rFonts w:ascii="仿宋" w:eastAsia="仿宋" w:hAnsi="仿宋" w:cs="宋体" w:hint="eastAsia"/>
          <w:kern w:val="0"/>
          <w:sz w:val="28"/>
          <w:szCs w:val="28"/>
        </w:rPr>
      </w:pPr>
      <w:r w:rsidRPr="00066EDD">
        <w:rPr>
          <w:rFonts w:ascii="仿宋" w:eastAsia="仿宋" w:hAnsi="仿宋" w:cs="宋体" w:hint="eastAsia"/>
          <w:kern w:val="0"/>
          <w:sz w:val="28"/>
          <w:szCs w:val="28"/>
        </w:rPr>
        <w:t>住房和城乡建设部</w:t>
      </w:r>
    </w:p>
    <w:p w:rsidR="00066EDD" w:rsidRPr="00066EDD" w:rsidRDefault="00066EDD" w:rsidP="00066EDD">
      <w:pPr>
        <w:widowControl/>
        <w:spacing w:before="100" w:beforeAutospacing="1" w:after="100" w:afterAutospacing="1" w:line="450" w:lineRule="atLeast"/>
        <w:ind w:left="870"/>
        <w:jc w:val="right"/>
        <w:rPr>
          <w:rFonts w:ascii="仿宋" w:eastAsia="仿宋" w:hAnsi="仿宋" w:cs="宋体" w:hint="eastAsia"/>
          <w:kern w:val="0"/>
          <w:sz w:val="28"/>
          <w:szCs w:val="28"/>
        </w:rPr>
      </w:pPr>
      <w:r w:rsidRPr="00066EDD">
        <w:rPr>
          <w:rFonts w:ascii="仿宋" w:eastAsia="仿宋" w:hAnsi="仿宋" w:cs="宋体" w:hint="eastAsia"/>
          <w:kern w:val="0"/>
          <w:sz w:val="28"/>
          <w:szCs w:val="28"/>
        </w:rPr>
        <w:t xml:space="preserve">财 </w:t>
      </w:r>
      <w:r w:rsidRPr="00066EDD">
        <w:rPr>
          <w:rFonts w:ascii="宋体" w:eastAsia="仿宋" w:hAnsi="宋体" w:cs="宋体" w:hint="eastAsia"/>
          <w:kern w:val="0"/>
          <w:sz w:val="28"/>
          <w:szCs w:val="28"/>
        </w:rPr>
        <w:t> </w:t>
      </w:r>
      <w:r w:rsidRPr="00066EDD">
        <w:rPr>
          <w:rFonts w:ascii="仿宋" w:eastAsia="仿宋" w:hAnsi="仿宋" w:cs="宋体" w:hint="eastAsia"/>
          <w:kern w:val="0"/>
          <w:sz w:val="28"/>
          <w:szCs w:val="28"/>
        </w:rPr>
        <w:t xml:space="preserve">政 </w:t>
      </w:r>
      <w:r w:rsidRPr="00066EDD">
        <w:rPr>
          <w:rFonts w:ascii="宋体" w:eastAsia="仿宋" w:hAnsi="宋体" w:cs="宋体" w:hint="eastAsia"/>
          <w:kern w:val="0"/>
          <w:sz w:val="28"/>
          <w:szCs w:val="28"/>
        </w:rPr>
        <w:t> </w:t>
      </w:r>
      <w:r w:rsidRPr="00066EDD">
        <w:rPr>
          <w:rFonts w:ascii="仿宋" w:eastAsia="仿宋" w:hAnsi="仿宋" w:cs="宋体" w:hint="eastAsia"/>
          <w:kern w:val="0"/>
          <w:sz w:val="28"/>
          <w:szCs w:val="28"/>
        </w:rPr>
        <w:t>部</w:t>
      </w:r>
    </w:p>
    <w:p w:rsidR="00066EDD" w:rsidRPr="00066EDD" w:rsidRDefault="00066EDD" w:rsidP="00066EDD">
      <w:pPr>
        <w:widowControl/>
        <w:spacing w:before="100" w:beforeAutospacing="1" w:after="100" w:afterAutospacing="1" w:line="450" w:lineRule="atLeast"/>
        <w:ind w:left="870"/>
        <w:jc w:val="right"/>
        <w:rPr>
          <w:rFonts w:ascii="仿宋" w:eastAsia="仿宋" w:hAnsi="仿宋" w:cs="宋体" w:hint="eastAsia"/>
          <w:kern w:val="0"/>
          <w:sz w:val="28"/>
          <w:szCs w:val="28"/>
        </w:rPr>
      </w:pPr>
      <w:r w:rsidRPr="00066EDD">
        <w:rPr>
          <w:rFonts w:ascii="仿宋" w:eastAsia="仿宋" w:hAnsi="仿宋" w:cs="宋体" w:hint="eastAsia"/>
          <w:kern w:val="0"/>
          <w:sz w:val="28"/>
          <w:szCs w:val="28"/>
        </w:rPr>
        <w:t>2017年9月6日</w:t>
      </w:r>
    </w:p>
    <w:p w:rsidR="00066EDD" w:rsidRPr="00066EDD" w:rsidRDefault="00066EDD">
      <w:pPr>
        <w:rPr>
          <w:rFonts w:ascii="仿宋" w:eastAsia="仿宋" w:hAnsi="仿宋"/>
          <w:sz w:val="28"/>
          <w:szCs w:val="28"/>
        </w:rPr>
      </w:pPr>
    </w:p>
    <w:sectPr w:rsidR="00066EDD" w:rsidRPr="00066EDD" w:rsidSect="00D67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2101"/>
    <w:multiLevelType w:val="multilevel"/>
    <w:tmpl w:val="ECFC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EDD"/>
    <w:rsid w:val="00066EDD"/>
    <w:rsid w:val="00576E03"/>
    <w:rsid w:val="00D67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7995">
      <w:bodyDiv w:val="1"/>
      <w:marLeft w:val="0"/>
      <w:marRight w:val="0"/>
      <w:marTop w:val="0"/>
      <w:marBottom w:val="0"/>
      <w:divBdr>
        <w:top w:val="none" w:sz="0" w:space="0" w:color="auto"/>
        <w:left w:val="none" w:sz="0" w:space="0" w:color="auto"/>
        <w:bottom w:val="none" w:sz="0" w:space="0" w:color="auto"/>
        <w:right w:val="none" w:sz="0" w:space="0" w:color="auto"/>
      </w:divBdr>
      <w:divsChild>
        <w:div w:id="574898567">
          <w:marLeft w:val="0"/>
          <w:marRight w:val="0"/>
          <w:marTop w:val="0"/>
          <w:marBottom w:val="0"/>
          <w:divBdr>
            <w:top w:val="none" w:sz="0" w:space="0" w:color="auto"/>
            <w:left w:val="none" w:sz="0" w:space="0" w:color="auto"/>
            <w:bottom w:val="none" w:sz="0" w:space="0" w:color="auto"/>
            <w:right w:val="none" w:sz="0" w:space="0" w:color="auto"/>
          </w:divBdr>
          <w:divsChild>
            <w:div w:id="1021972115">
              <w:marLeft w:val="0"/>
              <w:marRight w:val="0"/>
              <w:marTop w:val="0"/>
              <w:marBottom w:val="0"/>
              <w:divBdr>
                <w:top w:val="none" w:sz="0" w:space="0" w:color="auto"/>
                <w:left w:val="none" w:sz="0" w:space="0" w:color="auto"/>
                <w:bottom w:val="none" w:sz="0" w:space="0" w:color="auto"/>
                <w:right w:val="none" w:sz="0" w:space="0" w:color="auto"/>
              </w:divBdr>
              <w:divsChild>
                <w:div w:id="697045068">
                  <w:marLeft w:val="0"/>
                  <w:marRight w:val="0"/>
                  <w:marTop w:val="0"/>
                  <w:marBottom w:val="0"/>
                  <w:divBdr>
                    <w:top w:val="none" w:sz="0" w:space="0" w:color="auto"/>
                    <w:left w:val="none" w:sz="0" w:space="0" w:color="auto"/>
                    <w:bottom w:val="none" w:sz="0" w:space="0" w:color="auto"/>
                    <w:right w:val="none" w:sz="0" w:space="0" w:color="auto"/>
                  </w:divBdr>
                  <w:divsChild>
                    <w:div w:id="460655674">
                      <w:marLeft w:val="0"/>
                      <w:marRight w:val="0"/>
                      <w:marTop w:val="0"/>
                      <w:marBottom w:val="0"/>
                      <w:divBdr>
                        <w:top w:val="none" w:sz="0" w:space="0" w:color="auto"/>
                        <w:left w:val="none" w:sz="0" w:space="0" w:color="auto"/>
                        <w:bottom w:val="none" w:sz="0" w:space="0" w:color="auto"/>
                        <w:right w:val="none" w:sz="0" w:space="0" w:color="auto"/>
                      </w:divBdr>
                      <w:divsChild>
                        <w:div w:id="1388260679">
                          <w:marLeft w:val="0"/>
                          <w:marRight w:val="0"/>
                          <w:marTop w:val="0"/>
                          <w:marBottom w:val="150"/>
                          <w:divBdr>
                            <w:top w:val="single" w:sz="6" w:space="0" w:color="DDDDDD"/>
                            <w:left w:val="single" w:sz="6" w:space="0" w:color="DDDDDD"/>
                            <w:bottom w:val="single" w:sz="6" w:space="0" w:color="DDDDDD"/>
                            <w:right w:val="single" w:sz="6" w:space="0" w:color="DDDDDD"/>
                          </w:divBdr>
                          <w:divsChild>
                            <w:div w:id="1189679701">
                              <w:marLeft w:val="150"/>
                              <w:marRight w:val="0"/>
                              <w:marTop w:val="300"/>
                              <w:marBottom w:val="150"/>
                              <w:divBdr>
                                <w:top w:val="none" w:sz="0" w:space="0" w:color="auto"/>
                                <w:left w:val="none" w:sz="0" w:space="0" w:color="auto"/>
                                <w:bottom w:val="none" w:sz="0" w:space="0" w:color="auto"/>
                                <w:right w:val="none" w:sz="0" w:space="0" w:color="auto"/>
                              </w:divBdr>
                              <w:divsChild>
                                <w:div w:id="150097719">
                                  <w:marLeft w:val="0"/>
                                  <w:marRight w:val="0"/>
                                  <w:marTop w:val="0"/>
                                  <w:marBottom w:val="0"/>
                                  <w:divBdr>
                                    <w:top w:val="none" w:sz="0" w:space="0" w:color="auto"/>
                                    <w:left w:val="none" w:sz="0" w:space="0" w:color="auto"/>
                                    <w:bottom w:val="none" w:sz="0" w:space="0" w:color="auto"/>
                                    <w:right w:val="none" w:sz="0" w:space="0" w:color="auto"/>
                                  </w:divBdr>
                                </w:div>
                                <w:div w:id="583034735">
                                  <w:marLeft w:val="0"/>
                                  <w:marRight w:val="0"/>
                                  <w:marTop w:val="0"/>
                                  <w:marBottom w:val="0"/>
                                  <w:divBdr>
                                    <w:top w:val="none" w:sz="0" w:space="0" w:color="auto"/>
                                    <w:left w:val="none" w:sz="0" w:space="0" w:color="auto"/>
                                    <w:bottom w:val="none" w:sz="0" w:space="0" w:color="auto"/>
                                    <w:right w:val="none" w:sz="0" w:space="0" w:color="auto"/>
                                  </w:divBdr>
                                </w:div>
                                <w:div w:id="816412440">
                                  <w:marLeft w:val="0"/>
                                  <w:marRight w:val="0"/>
                                  <w:marTop w:val="0"/>
                                  <w:marBottom w:val="0"/>
                                  <w:divBdr>
                                    <w:top w:val="none" w:sz="0" w:space="0" w:color="auto"/>
                                    <w:left w:val="none" w:sz="0" w:space="0" w:color="auto"/>
                                    <w:bottom w:val="none" w:sz="0" w:space="0" w:color="auto"/>
                                    <w:right w:val="none" w:sz="0" w:space="0" w:color="auto"/>
                                  </w:divBdr>
                                </w:div>
                                <w:div w:id="2127264825">
                                  <w:marLeft w:val="0"/>
                                  <w:marRight w:val="0"/>
                                  <w:marTop w:val="0"/>
                                  <w:marBottom w:val="0"/>
                                  <w:divBdr>
                                    <w:top w:val="none" w:sz="0" w:space="0" w:color="auto"/>
                                    <w:left w:val="none" w:sz="0" w:space="0" w:color="auto"/>
                                    <w:bottom w:val="none" w:sz="0" w:space="0" w:color="auto"/>
                                    <w:right w:val="none" w:sz="0" w:space="0" w:color="auto"/>
                                  </w:divBdr>
                                </w:div>
                                <w:div w:id="1443921649">
                                  <w:marLeft w:val="0"/>
                                  <w:marRight w:val="0"/>
                                  <w:marTop w:val="0"/>
                                  <w:marBottom w:val="0"/>
                                  <w:divBdr>
                                    <w:top w:val="none" w:sz="0" w:space="0" w:color="auto"/>
                                    <w:left w:val="none" w:sz="0" w:space="0" w:color="auto"/>
                                    <w:bottom w:val="none" w:sz="0" w:space="0" w:color="auto"/>
                                    <w:right w:val="none" w:sz="0" w:space="0" w:color="auto"/>
                                  </w:divBdr>
                                </w:div>
                                <w:div w:id="510491452">
                                  <w:marLeft w:val="0"/>
                                  <w:marRight w:val="0"/>
                                  <w:marTop w:val="0"/>
                                  <w:marBottom w:val="0"/>
                                  <w:divBdr>
                                    <w:top w:val="none" w:sz="0" w:space="0" w:color="auto"/>
                                    <w:left w:val="none" w:sz="0" w:space="0" w:color="auto"/>
                                    <w:bottom w:val="none" w:sz="0" w:space="0" w:color="auto"/>
                                    <w:right w:val="none" w:sz="0" w:space="0" w:color="auto"/>
                                  </w:divBdr>
                                </w:div>
                                <w:div w:id="1790077746">
                                  <w:marLeft w:val="0"/>
                                  <w:marRight w:val="0"/>
                                  <w:marTop w:val="0"/>
                                  <w:marBottom w:val="0"/>
                                  <w:divBdr>
                                    <w:top w:val="none" w:sz="0" w:space="0" w:color="auto"/>
                                    <w:left w:val="none" w:sz="0" w:space="0" w:color="auto"/>
                                    <w:bottom w:val="none" w:sz="0" w:space="0" w:color="auto"/>
                                    <w:right w:val="none" w:sz="0" w:space="0" w:color="auto"/>
                                  </w:divBdr>
                                </w:div>
                                <w:div w:id="273446379">
                                  <w:marLeft w:val="0"/>
                                  <w:marRight w:val="0"/>
                                  <w:marTop w:val="0"/>
                                  <w:marBottom w:val="0"/>
                                  <w:divBdr>
                                    <w:top w:val="none" w:sz="0" w:space="0" w:color="auto"/>
                                    <w:left w:val="none" w:sz="0" w:space="0" w:color="auto"/>
                                    <w:bottom w:val="none" w:sz="0" w:space="0" w:color="auto"/>
                                    <w:right w:val="none" w:sz="0" w:space="0" w:color="auto"/>
                                  </w:divBdr>
                                </w:div>
                                <w:div w:id="1857115646">
                                  <w:marLeft w:val="0"/>
                                  <w:marRight w:val="0"/>
                                  <w:marTop w:val="0"/>
                                  <w:marBottom w:val="0"/>
                                  <w:divBdr>
                                    <w:top w:val="none" w:sz="0" w:space="0" w:color="auto"/>
                                    <w:left w:val="none" w:sz="0" w:space="0" w:color="auto"/>
                                    <w:bottom w:val="none" w:sz="0" w:space="0" w:color="auto"/>
                                    <w:right w:val="none" w:sz="0" w:space="0" w:color="auto"/>
                                  </w:divBdr>
                                </w:div>
                                <w:div w:id="43844104">
                                  <w:marLeft w:val="0"/>
                                  <w:marRight w:val="0"/>
                                  <w:marTop w:val="0"/>
                                  <w:marBottom w:val="0"/>
                                  <w:divBdr>
                                    <w:top w:val="none" w:sz="0" w:space="0" w:color="auto"/>
                                    <w:left w:val="none" w:sz="0" w:space="0" w:color="auto"/>
                                    <w:bottom w:val="none" w:sz="0" w:space="0" w:color="auto"/>
                                    <w:right w:val="none" w:sz="0" w:space="0" w:color="auto"/>
                                  </w:divBdr>
                                </w:div>
                                <w:div w:id="1785424124">
                                  <w:marLeft w:val="0"/>
                                  <w:marRight w:val="0"/>
                                  <w:marTop w:val="0"/>
                                  <w:marBottom w:val="0"/>
                                  <w:divBdr>
                                    <w:top w:val="none" w:sz="0" w:space="0" w:color="auto"/>
                                    <w:left w:val="none" w:sz="0" w:space="0" w:color="auto"/>
                                    <w:bottom w:val="none" w:sz="0" w:space="0" w:color="auto"/>
                                    <w:right w:val="none" w:sz="0" w:space="0" w:color="auto"/>
                                  </w:divBdr>
                                </w:div>
                                <w:div w:id="590940848">
                                  <w:marLeft w:val="0"/>
                                  <w:marRight w:val="0"/>
                                  <w:marTop w:val="0"/>
                                  <w:marBottom w:val="0"/>
                                  <w:divBdr>
                                    <w:top w:val="none" w:sz="0" w:space="0" w:color="auto"/>
                                    <w:left w:val="none" w:sz="0" w:space="0" w:color="auto"/>
                                    <w:bottom w:val="none" w:sz="0" w:space="0" w:color="auto"/>
                                    <w:right w:val="none" w:sz="0" w:space="0" w:color="auto"/>
                                  </w:divBdr>
                                </w:div>
                                <w:div w:id="281308455">
                                  <w:marLeft w:val="0"/>
                                  <w:marRight w:val="0"/>
                                  <w:marTop w:val="0"/>
                                  <w:marBottom w:val="0"/>
                                  <w:divBdr>
                                    <w:top w:val="none" w:sz="0" w:space="0" w:color="auto"/>
                                    <w:left w:val="none" w:sz="0" w:space="0" w:color="auto"/>
                                    <w:bottom w:val="none" w:sz="0" w:space="0" w:color="auto"/>
                                    <w:right w:val="none" w:sz="0" w:space="0" w:color="auto"/>
                                  </w:divBdr>
                                </w:div>
                                <w:div w:id="402606854">
                                  <w:marLeft w:val="0"/>
                                  <w:marRight w:val="0"/>
                                  <w:marTop w:val="0"/>
                                  <w:marBottom w:val="0"/>
                                  <w:divBdr>
                                    <w:top w:val="none" w:sz="0" w:space="0" w:color="auto"/>
                                    <w:left w:val="none" w:sz="0" w:space="0" w:color="auto"/>
                                    <w:bottom w:val="none" w:sz="0" w:space="0" w:color="auto"/>
                                    <w:right w:val="none" w:sz="0" w:space="0" w:color="auto"/>
                                  </w:divBdr>
                                </w:div>
                                <w:div w:id="914893945">
                                  <w:marLeft w:val="0"/>
                                  <w:marRight w:val="0"/>
                                  <w:marTop w:val="0"/>
                                  <w:marBottom w:val="0"/>
                                  <w:divBdr>
                                    <w:top w:val="none" w:sz="0" w:space="0" w:color="auto"/>
                                    <w:left w:val="none" w:sz="0" w:space="0" w:color="auto"/>
                                    <w:bottom w:val="none" w:sz="0" w:space="0" w:color="auto"/>
                                    <w:right w:val="none" w:sz="0" w:space="0" w:color="auto"/>
                                  </w:divBdr>
                                </w:div>
                                <w:div w:id="6820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2017-10-17T08:20:00Z</dcterms:created>
  <dcterms:modified xsi:type="dcterms:W3CDTF">2017-10-17T08:32:00Z</dcterms:modified>
</cp:coreProperties>
</file>